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0232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380B03EB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19A21A5A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7AD9A936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0B3D7781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501E3F24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33693985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6763F8F1" w14:textId="27E2BDB5" w:rsidR="0022631D" w:rsidRPr="00336973" w:rsidRDefault="0022631D" w:rsidP="00336973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734A3F08" w14:textId="500878B1" w:rsidR="0022631D" w:rsidRPr="004B7B7C" w:rsidRDefault="0071790D" w:rsidP="004B7B7C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&gt;&gt;-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ը</w:t>
      </w:r>
      <w:r w:rsidR="0022631D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4B7B7C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Վայոց ձորի մարզ, Արենի համայնք, Արենի բնակավայր, 15 փ. 3 շ. </w:t>
      </w:r>
      <w:r w:rsidR="0022631D" w:rsidRPr="004B7B7C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 w:rsidR="0022631D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    կարիքների համար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4B7B7C" w:rsidRPr="004B7B7C">
        <w:rPr>
          <w:rFonts w:ascii="GHEA Grapalat" w:hAnsi="GHEA Grapalat" w:cs="Sylfaen"/>
          <w:sz w:val="20"/>
          <w:szCs w:val="20"/>
          <w:lang w:val="af-ZA"/>
        </w:rPr>
        <w:t xml:space="preserve">&lt;&lt;շինարարական աշխատանքների&gt;&gt; 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ձեռքբերման նպատակով կազմակերպված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4B7B7C" w:rsidRPr="004B7B7C">
        <w:rPr>
          <w:rFonts w:ascii="GHEA Grapalat" w:hAnsi="GHEA Grapalat" w:cs="Times Armenian"/>
          <w:sz w:val="20"/>
          <w:szCs w:val="20"/>
          <w:lang w:val="af-ZA"/>
        </w:rPr>
        <w:t>&lt;&lt;ԱՐԵՆԻՀ-ԳՀԱՇՁԲ-0</w:t>
      </w:r>
      <w:r w:rsidR="009D61B2">
        <w:rPr>
          <w:rFonts w:ascii="GHEA Grapalat" w:hAnsi="GHEA Grapalat" w:cs="Times Armenian"/>
          <w:sz w:val="20"/>
          <w:szCs w:val="20"/>
          <w:lang w:val="af-ZA"/>
        </w:rPr>
        <w:t>3</w:t>
      </w:r>
      <w:r w:rsidR="004B7B7C" w:rsidRPr="004B7B7C">
        <w:rPr>
          <w:rFonts w:ascii="GHEA Grapalat" w:hAnsi="GHEA Grapalat" w:cs="Times Armenian"/>
          <w:sz w:val="20"/>
          <w:szCs w:val="20"/>
          <w:lang w:val="af-ZA"/>
        </w:rPr>
        <w:t xml:space="preserve">/24&gt;&gt;  </w:t>
      </w:r>
      <w:r w:rsidR="0022631D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2611B95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4"/>
        <w:gridCol w:w="383"/>
        <w:gridCol w:w="1029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447"/>
        <w:gridCol w:w="578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A81CC9" w14:paraId="352F7FF4" w14:textId="77777777" w:rsidTr="004B7B7C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626BD8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82" w:type="dxa"/>
            <w:gridSpan w:val="33"/>
            <w:shd w:val="clear" w:color="auto" w:fill="auto"/>
            <w:vAlign w:val="center"/>
          </w:tcPr>
          <w:p w14:paraId="5E59C6E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459FE34E" w14:textId="77777777" w:rsidTr="004B7B7C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7A4C81C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1" w:type="dxa"/>
            <w:gridSpan w:val="5"/>
            <w:vMerge w:val="restart"/>
            <w:shd w:val="clear" w:color="auto" w:fill="auto"/>
            <w:vAlign w:val="center"/>
          </w:tcPr>
          <w:p w14:paraId="641C0D87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233FEAA8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6619F71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D29E35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1B031EE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61C45FE6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46067745" w14:textId="77777777" w:rsidTr="004B7B7C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14:paraId="21DFFEA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shd w:val="clear" w:color="auto" w:fill="auto"/>
            <w:vAlign w:val="center"/>
          </w:tcPr>
          <w:p w14:paraId="293831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6BCCA1E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46CC2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7B71C509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6A0F4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77D404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1BB691D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2D534FE" w14:textId="77777777" w:rsidTr="004B7B7C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A5D7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FADE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FB92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E2B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90CF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37D0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F735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1A57D0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5D761F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5D2010" w:rsidRPr="00A81CC9" w14:paraId="5B17CC1A" w14:textId="77777777" w:rsidTr="00012435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14:paraId="685EB0F7" w14:textId="77777777" w:rsidR="005D2010" w:rsidRPr="00336973" w:rsidRDefault="005D2010" w:rsidP="005D201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B7D285" w14:textId="572CE0B6" w:rsidR="005D2010" w:rsidRPr="00336973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&lt;&lt;Արենի համայնքի Խաչիկ բնակավայրում «40 աղբյուրներ» խմելու ջրաղբյուրի  3.0 կմ ջրագծի կառուցման  աշխատանքներ&gt;&gt;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3E32E" w14:textId="1460463F" w:rsidR="005D2010" w:rsidRPr="00336973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FF0B4B" w14:textId="445DFB63" w:rsidR="005D2010" w:rsidRPr="00020399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20399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0FCD5" w14:textId="0C054DEC" w:rsidR="005D2010" w:rsidRPr="00020399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20399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D06740" w14:textId="428B184C" w:rsidR="005D2010" w:rsidRPr="00020399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20399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43617EA" w14:textId="77777777" w:rsidR="00020399" w:rsidRPr="00020399" w:rsidRDefault="00020399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</w:p>
          <w:p w14:paraId="618787B0" w14:textId="77777777" w:rsidR="00020399" w:rsidRPr="00020399" w:rsidRDefault="00020399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</w:p>
          <w:p w14:paraId="293032B8" w14:textId="77777777" w:rsidR="00020399" w:rsidRPr="00020399" w:rsidRDefault="00020399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</w:p>
          <w:p w14:paraId="0F15BD12" w14:textId="276D5A5C" w:rsidR="005D2010" w:rsidRPr="00020399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20399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56 181 250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0032591" w14:textId="38667DF4" w:rsidR="005D2010" w:rsidRPr="00336973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336973">
              <w:rPr>
                <w:sz w:val="16"/>
                <w:szCs w:val="16"/>
              </w:rPr>
              <w:t xml:space="preserve"> &lt;&lt;Արենի համայնքի Խաչիկ բնակավայրում «40 աղբյուրներ» խմելու ջրաղբյուրի  3.0 կմ ջրագծի կառուցման  աշխատանքներ&gt;&gt;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23C51733" w14:textId="0622D7C9" w:rsidR="005D2010" w:rsidRPr="00336973" w:rsidRDefault="005D2010" w:rsidP="005D2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336973">
              <w:rPr>
                <w:sz w:val="16"/>
                <w:szCs w:val="16"/>
              </w:rPr>
              <w:t xml:space="preserve"> &lt;&lt;Արենի համայնքի Խաչիկ բնակավայրում «40 աղբյուրներ» խմելու ջրաղբյուրի  3.0 կմ ջրագծի կառուցման  աշխատանքներ&gt;&gt; </w:t>
            </w:r>
          </w:p>
        </w:tc>
      </w:tr>
      <w:tr w:rsidR="0022631D" w:rsidRPr="00A81CC9" w14:paraId="3EECD739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3A6BEA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93962C7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9754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B73EB" w14:textId="2394595C" w:rsidR="00133D74" w:rsidRPr="007C5907" w:rsidRDefault="00133D74" w:rsidP="00133D74">
            <w:pPr>
              <w:pStyle w:val="aa"/>
              <w:ind w:firstLine="0"/>
              <w:jc w:val="lef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>"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Գնումների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մասին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" 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ՀՀ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օրենքի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15-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րդ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հոդվածի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6-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րդ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մասի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հիման</w:t>
            </w:r>
            <w:r w:rsidRPr="007C5907">
              <w:rPr>
                <w:rFonts w:ascii="Arial Armenian" w:hAnsi="Arial Armenian"/>
                <w:iCs/>
                <w:sz w:val="16"/>
                <w:szCs w:val="16"/>
                <w:lang w:val="hy-AM"/>
              </w:rPr>
              <w:t xml:space="preserve"> </w:t>
            </w:r>
            <w:r w:rsidRPr="007C5907">
              <w:rPr>
                <w:rFonts w:ascii="Arial" w:hAnsi="Arial" w:cs="Arial"/>
                <w:iCs/>
                <w:sz w:val="16"/>
                <w:szCs w:val="16"/>
                <w:lang w:val="hy-AM"/>
              </w:rPr>
              <w:t>վրա</w:t>
            </w:r>
          </w:p>
          <w:p w14:paraId="48E52140" w14:textId="77777777" w:rsidR="0022631D" w:rsidRPr="00133D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631D" w:rsidRPr="00A81CC9" w14:paraId="14D38272" w14:textId="77777777" w:rsidTr="00F10F55">
        <w:trPr>
          <w:trHeight w:val="453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98F2D8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AB04D6C" w14:textId="77777777" w:rsidTr="00B35C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1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00B6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10367C1" w14:textId="731BACC4" w:rsidR="0022631D" w:rsidRPr="00A81CC9" w:rsidRDefault="00F10F5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  <w:r w:rsidR="00E81D4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.03.2024 թ. </w:t>
            </w:r>
          </w:p>
        </w:tc>
      </w:tr>
      <w:tr w:rsidR="0022631D" w:rsidRPr="00A81CC9" w14:paraId="5D1E221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721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4EE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DD6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E2CD941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C76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2AA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A961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623394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77D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D5C2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377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586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2A15AB3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E69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A5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11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CB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A4A4A74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73A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C7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B4B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8CB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1EF1A00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F170A3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7884AB8D" w14:textId="77777777" w:rsidTr="00A42DEF">
        <w:trPr>
          <w:trHeight w:val="605"/>
        </w:trPr>
        <w:tc>
          <w:tcPr>
            <w:tcW w:w="1197" w:type="dxa"/>
            <w:gridSpan w:val="3"/>
            <w:vMerge w:val="restart"/>
            <w:shd w:val="clear" w:color="auto" w:fill="auto"/>
            <w:vAlign w:val="center"/>
          </w:tcPr>
          <w:p w14:paraId="3CC532F7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23" w:type="dxa"/>
            <w:gridSpan w:val="6"/>
            <w:vMerge w:val="restart"/>
            <w:shd w:val="clear" w:color="auto" w:fill="auto"/>
            <w:vAlign w:val="center"/>
          </w:tcPr>
          <w:p w14:paraId="7440F3B6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7AD27FFB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4B0A911F" w14:textId="77777777" w:rsidTr="00A42DEF">
        <w:trPr>
          <w:trHeight w:val="110"/>
        </w:trPr>
        <w:tc>
          <w:tcPr>
            <w:tcW w:w="1197" w:type="dxa"/>
            <w:gridSpan w:val="3"/>
            <w:vMerge/>
            <w:shd w:val="clear" w:color="auto" w:fill="auto"/>
            <w:vAlign w:val="center"/>
          </w:tcPr>
          <w:p w14:paraId="14B64BAB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3" w:type="dxa"/>
            <w:gridSpan w:val="6"/>
            <w:vMerge/>
            <w:shd w:val="clear" w:color="auto" w:fill="auto"/>
            <w:vAlign w:val="center"/>
          </w:tcPr>
          <w:p w14:paraId="308193F2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61586EC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2E60E0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EB54450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6C096AF0" w14:textId="77777777" w:rsidTr="00A42DEF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F6E26D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10015" w:type="dxa"/>
            <w:gridSpan w:val="31"/>
            <w:shd w:val="clear" w:color="auto" w:fill="auto"/>
            <w:vAlign w:val="center"/>
          </w:tcPr>
          <w:p w14:paraId="6FD57C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C5907" w:rsidRPr="00A81CC9" w14:paraId="1834B535" w14:textId="77777777" w:rsidTr="00A42DEF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05879FD" w14:textId="77777777" w:rsidR="007C5907" w:rsidRPr="00A81CC9" w:rsidRDefault="007C5907" w:rsidP="007C590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3" w:type="dxa"/>
            <w:gridSpan w:val="6"/>
            <w:shd w:val="clear" w:color="auto" w:fill="auto"/>
          </w:tcPr>
          <w:p w14:paraId="1D4CC20B" w14:textId="766BEDD0" w:rsidR="007C5907" w:rsidRPr="00A81CC9" w:rsidRDefault="007C5907" w:rsidP="007C590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</w:t>
            </w:r>
            <w:r w:rsidR="00044F3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Խաչիկ Գրիգորյան Կնյազի 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&gt;&gt; </w:t>
            </w:r>
            <w:r w:rsidR="00044F3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24BCDF63" w14:textId="11851D7F" w:rsidR="007C5907" w:rsidRPr="00A81CC9" w:rsidRDefault="005D2010" w:rsidP="007C590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5D201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53 800 000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CD2A610" w14:textId="0DFC0BB2" w:rsidR="007C5907" w:rsidRPr="00A81CC9" w:rsidRDefault="00A42DEF" w:rsidP="007C590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3839B07E" w14:textId="16798969" w:rsidR="007C5907" w:rsidRPr="00A81CC9" w:rsidRDefault="005D2010" w:rsidP="007C590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5D201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53 800 000</w:t>
            </w:r>
          </w:p>
        </w:tc>
      </w:tr>
      <w:tr w:rsidR="0022631D" w:rsidRPr="00A81CC9" w14:paraId="320C70AB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A1C12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581F77A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B156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4D82D962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55FFC6F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08165D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D076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4D7C01D6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A56F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673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CFC3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D07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6BF0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C3CFA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6F8ADBCC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5F3F5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60EBDB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E90AA5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EE2859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632B08F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5036D7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DCF1FAA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D1F071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A5FB91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54BDED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B0251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28B8E2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ED8CA2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1D6E6A4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3DFEA821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6D84DF10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35B5FD28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FF06DE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5348F1E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DBC2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6F43D" w14:textId="363B5A59" w:rsidR="0022631D" w:rsidRPr="00336973" w:rsidRDefault="004363EB" w:rsidP="004363EB">
            <w:pPr>
              <w:spacing w:before="0" w:after="0"/>
              <w:ind w:left="0" w:firstLine="0"/>
              <w:jc w:val="both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336973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="00D013DF" w:rsidRPr="00336973">
              <w:rPr>
                <w:rFonts w:ascii="Arial Armenian" w:hAnsi="Arial Armenian"/>
                <w:sz w:val="16"/>
                <w:szCs w:val="16"/>
                <w:lang w:val="pt-BR"/>
              </w:rPr>
              <w:t>21.03. 2024Ã</w:t>
            </w:r>
          </w:p>
        </w:tc>
      </w:tr>
      <w:tr w:rsidR="0022631D" w:rsidRPr="00A81CC9" w14:paraId="27268FB6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2C634C4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1826C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A5728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5362715F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4129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29B352" w14:textId="774CF734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13ECA" w14:textId="43784071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E74364A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A426E1" w14:textId="1AB2DAA3" w:rsidR="0022631D" w:rsidRPr="002371CB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371C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</w:t>
            </w:r>
            <w:r w:rsidR="003024F7" w:rsidRPr="003024F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29.03.2024 թ.</w:t>
            </w:r>
          </w:p>
        </w:tc>
      </w:tr>
      <w:tr w:rsidR="0022631D" w:rsidRPr="00A81CC9" w14:paraId="0A4C9224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3A9B2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20953" w14:textId="14D85C4B" w:rsidR="0022631D" w:rsidRPr="00D3756B" w:rsidRDefault="00D013D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29</w:t>
            </w:r>
            <w:r w:rsidR="002371CB"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.0</w:t>
            </w:r>
            <w:r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</w:t>
            </w:r>
            <w:r w:rsidR="002371CB"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.2024 թ. </w:t>
            </w:r>
          </w:p>
        </w:tc>
      </w:tr>
      <w:tr w:rsidR="0071790D" w:rsidRPr="00A81CC9" w14:paraId="27419F14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8F3284" w14:textId="77777777" w:rsidR="0071790D" w:rsidRPr="00A81CC9" w:rsidRDefault="0071790D" w:rsidP="0071790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1B7B6" w14:textId="48D27C74" w:rsidR="0071790D" w:rsidRPr="00D3756B" w:rsidRDefault="00D013DF" w:rsidP="0071790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29</w:t>
            </w:r>
            <w:r w:rsidR="0071790D"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.0</w:t>
            </w:r>
            <w:r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</w:t>
            </w:r>
            <w:r w:rsidR="0071790D" w:rsidRPr="00D3756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.2024 թ. </w:t>
            </w:r>
          </w:p>
        </w:tc>
      </w:tr>
      <w:tr w:rsidR="0071790D" w:rsidRPr="00A81CC9" w14:paraId="2EA9D83A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B809391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1790D" w:rsidRPr="00A81CC9" w14:paraId="7DE082AA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44D8E58A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4FEAA903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7862B5AC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71790D" w:rsidRPr="00A81CC9" w14:paraId="24FD8617" w14:textId="77777777" w:rsidTr="00D3756B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901A547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3F2E4F76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6EAB4452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7" w:type="dxa"/>
            <w:gridSpan w:val="5"/>
            <w:vMerge w:val="restart"/>
            <w:shd w:val="clear" w:color="auto" w:fill="auto"/>
            <w:vAlign w:val="center"/>
          </w:tcPr>
          <w:p w14:paraId="3B68F18E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382" w:type="dxa"/>
            <w:gridSpan w:val="5"/>
            <w:vMerge w:val="restart"/>
            <w:shd w:val="clear" w:color="auto" w:fill="auto"/>
            <w:vAlign w:val="center"/>
          </w:tcPr>
          <w:p w14:paraId="4407A07D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73A4B552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10CD09CC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71790D" w:rsidRPr="00A81CC9" w14:paraId="1D5A74D3" w14:textId="77777777" w:rsidTr="00D3756B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D0DF5ED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BA04936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1F25545E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14:paraId="76225304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5"/>
            <w:vMerge/>
            <w:shd w:val="clear" w:color="auto" w:fill="auto"/>
            <w:vAlign w:val="center"/>
          </w:tcPr>
          <w:p w14:paraId="1DD7BB7D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784067C6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59DA0E10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71790D" w:rsidRPr="00A81CC9" w14:paraId="05AE94FE" w14:textId="77777777" w:rsidTr="00D3756B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0838B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32A82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2B436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8668A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29DB1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855D0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C0BD1E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23F659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1790D" w:rsidRPr="00A81CC9" w14:paraId="60C98F92" w14:textId="77777777" w:rsidTr="00D3756B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59693E4" w14:textId="6E4EA8AF" w:rsidR="0071790D" w:rsidRPr="00336973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4CB44D78" w14:textId="307AB3C0" w:rsidR="0071790D" w:rsidRPr="00336973" w:rsidRDefault="003869D8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&lt;&lt;Խաչիկ Գրիգորյան Կնյազի &gt;&gt;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C0CE4E9" w14:textId="2107AF2C" w:rsidR="0071790D" w:rsidRPr="00336973" w:rsidRDefault="00336973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336973">
              <w:rPr>
                <w:rFonts w:ascii="GHEA Grapalat" w:hAnsi="GHEA Grapalat" w:cs="Times Armenian"/>
                <w:bCs/>
                <w:sz w:val="16"/>
                <w:szCs w:val="16"/>
                <w:lang w:val="af-ZA"/>
              </w:rPr>
              <w:t>&lt;&lt;ԱՐԵՆԻՀ-ԳՀԱՇՁԲ-03/24&gt;&gt;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14:paraId="55B6A333" w14:textId="794750D5" w:rsidR="0071790D" w:rsidRPr="00336973" w:rsidRDefault="003869D8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29.03.2024 թ.</w:t>
            </w:r>
          </w:p>
        </w:tc>
        <w:tc>
          <w:tcPr>
            <w:tcW w:w="1382" w:type="dxa"/>
            <w:gridSpan w:val="5"/>
            <w:shd w:val="clear" w:color="auto" w:fill="auto"/>
            <w:vAlign w:val="center"/>
          </w:tcPr>
          <w:p w14:paraId="5A9FAC39" w14:textId="4F388055" w:rsidR="0071790D" w:rsidRPr="00336973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Համաձայնագիրն ուժի մեջ մտնելուց հետո </w:t>
            </w:r>
            <w:r w:rsidR="00336973" w:rsidRPr="00336973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200 </w:t>
            </w:r>
            <w:r w:rsidRPr="00336973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3A9EF899" w14:textId="77777777" w:rsidR="0071790D" w:rsidRPr="00336973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FB3E304" w14:textId="26F8DF72" w:rsidR="0071790D" w:rsidRPr="00336973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318FDB3" w14:textId="3EA50010" w:rsidR="0071790D" w:rsidRPr="00336973" w:rsidRDefault="00336973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53 800 000</w:t>
            </w:r>
          </w:p>
        </w:tc>
      </w:tr>
      <w:tr w:rsidR="0071790D" w:rsidRPr="00A81CC9" w14:paraId="0FA83F2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3CD69894" w14:textId="77777777" w:rsidR="0071790D" w:rsidRPr="00336973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71790D" w:rsidRPr="00A81CC9" w14:paraId="6C802C94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BAFC2" w14:textId="77777777" w:rsidR="0071790D" w:rsidRPr="00336973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2713B" w14:textId="77777777" w:rsidR="0071790D" w:rsidRPr="00336973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EB069" w14:textId="77777777" w:rsidR="0071790D" w:rsidRPr="00336973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28D07" w14:textId="77777777" w:rsidR="0071790D" w:rsidRPr="00336973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91A10" w14:textId="77777777" w:rsidR="0071790D" w:rsidRPr="00336973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9AD75" w14:textId="77777777" w:rsidR="0071790D" w:rsidRPr="00336973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ՀՎՀՀ</w:t>
            </w:r>
            <w:r w:rsidRPr="00336973">
              <w:rPr>
                <w:rFonts w:ascii="Sylfaen" w:eastAsia="Times New Roman" w:hAnsi="Sylfaen"/>
                <w:bCs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6E3652" w:rsidRPr="0070378E" w14:paraId="1C212480" w14:textId="77777777" w:rsidTr="003D1F63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C3B2A1F" w14:textId="7731E5EA" w:rsidR="006E3652" w:rsidRPr="00336973" w:rsidRDefault="006E3652" w:rsidP="006E36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33697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4CBA095" w14:textId="627D63BF" w:rsidR="006E3652" w:rsidRPr="00336973" w:rsidRDefault="006E3652" w:rsidP="006E36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336973">
              <w:rPr>
                <w:bCs/>
                <w:sz w:val="16"/>
                <w:szCs w:val="16"/>
              </w:rPr>
              <w:t>&lt;&lt;Խաչիկ Գրիգորյան Կնյազի &gt;&gt;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3BA5B4" w14:textId="77777777" w:rsidR="006E3652" w:rsidRPr="00336973" w:rsidRDefault="006E3652" w:rsidP="006E3652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36973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ՎՁՄ,  Արենի համայնք, Խաչիկ բնակավայր փ. 4 տ. 11, </w:t>
            </w:r>
          </w:p>
          <w:p w14:paraId="22DC4C3F" w14:textId="4BC9C948" w:rsidR="006E3652" w:rsidRPr="00336973" w:rsidRDefault="006E3652" w:rsidP="006E36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336973">
              <w:rPr>
                <w:rFonts w:ascii="Arial" w:hAnsi="Arial" w:cs="Arial"/>
                <w:bCs/>
                <w:sz w:val="16"/>
                <w:szCs w:val="16"/>
                <w:lang w:val="hy-AM"/>
              </w:rPr>
              <w:t>հեռ. 094727534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5D7BD" w14:textId="765C0AE4" w:rsidR="006E3652" w:rsidRPr="00336973" w:rsidRDefault="006E3652" w:rsidP="006E36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336973">
              <w:rPr>
                <w:rFonts w:ascii="Times Armenian" w:eastAsia="Times New Roman" w:hAnsi="Times Armenian"/>
                <w:bCs/>
                <w:sz w:val="16"/>
                <w:szCs w:val="16"/>
                <w:lang w:eastAsia="ru-RU"/>
              </w:rPr>
              <w:t>armavethaj@mail.ru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2591B" w14:textId="633FAAC7" w:rsidR="006E3652" w:rsidRPr="00336973" w:rsidRDefault="006E3652" w:rsidP="006E36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220029673435000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14CEE" w14:textId="01F9EA5D" w:rsidR="006E3652" w:rsidRPr="00336973" w:rsidRDefault="006E3652" w:rsidP="006E36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336973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76845393</w:t>
            </w:r>
          </w:p>
        </w:tc>
      </w:tr>
      <w:tr w:rsidR="0071790D" w:rsidRPr="0070378E" w14:paraId="2F9C8CE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4385187" w14:textId="4EBB572E" w:rsidR="0071790D" w:rsidRPr="0070378E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70593699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619EA" w14:textId="77777777" w:rsidR="0071790D" w:rsidRPr="00A81CC9" w:rsidRDefault="0071790D" w:rsidP="0071790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EEFC" w14:textId="77777777" w:rsidR="0071790D" w:rsidRPr="00A81CC9" w:rsidRDefault="0071790D" w:rsidP="0071790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71790D" w:rsidRPr="00A81CC9" w14:paraId="2A38453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99091DB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1790D" w:rsidRPr="00A81CC9" w14:paraId="6A210B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4BC433D5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D3756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------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14:paraId="41055EF3" w14:textId="77777777" w:rsidR="0071790D" w:rsidRPr="00A81CC9" w:rsidRDefault="0071790D" w:rsidP="0071790D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061871B0" w14:textId="77777777" w:rsidR="0071790D" w:rsidRPr="00A81CC9" w:rsidRDefault="0071790D" w:rsidP="0071790D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72CE2581" w14:textId="77777777" w:rsidR="0071790D" w:rsidRPr="00A81CC9" w:rsidRDefault="0071790D" w:rsidP="0071790D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6981CB62" w14:textId="77777777" w:rsidR="0071790D" w:rsidRPr="00A81CC9" w:rsidRDefault="0071790D" w:rsidP="0071790D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336462D1" w14:textId="77777777" w:rsidR="0071790D" w:rsidRPr="00A81CC9" w:rsidRDefault="0071790D" w:rsidP="007179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2D2FBB34" w14:textId="77777777" w:rsidR="0071790D" w:rsidRPr="00A81CC9" w:rsidRDefault="0071790D" w:rsidP="007179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B2D741D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9CC352F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</w:t>
            </w:r>
            <w:r w:rsidRPr="00D3756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է---------------------------:</w:t>
            </w:r>
            <w:r w:rsidRPr="00D3756B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71790D" w:rsidRPr="00A81CC9" w14:paraId="0A92C29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D000B0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16B721A7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523AA658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40A454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39ECF332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1A94D27E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F0C6E5D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0AF2AAF3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5A33EE7B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5BF7AD" w14:textId="77777777" w:rsidR="0071790D" w:rsidRPr="00A81CC9" w:rsidRDefault="0071790D" w:rsidP="007179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3981C4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54FA943D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550B9F4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13547297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5D6C1" w14:textId="77777777" w:rsidR="0071790D" w:rsidRPr="00A81CC9" w:rsidRDefault="0071790D" w:rsidP="007179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C87D9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4B2EB9E9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9BCCDC5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790D" w:rsidRPr="00A81CC9" w14:paraId="668D331A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EF416" w14:textId="77777777" w:rsidR="0071790D" w:rsidRPr="00A81CC9" w:rsidRDefault="0071790D" w:rsidP="007179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6E508" w14:textId="77777777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1790D" w:rsidRPr="00A81CC9" w14:paraId="42C24E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1EE6C6C" w14:textId="77777777" w:rsidR="0071790D" w:rsidRPr="00A81CC9" w:rsidRDefault="0071790D" w:rsidP="0071790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1790D" w:rsidRPr="00A81CC9" w14:paraId="7FA41A3B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33452B8A" w14:textId="77777777" w:rsidR="0071790D" w:rsidRPr="00A81CC9" w:rsidRDefault="0071790D" w:rsidP="007179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1790D" w:rsidRPr="00A81CC9" w14:paraId="2DD74A68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F461D" w14:textId="77777777" w:rsidR="0071790D" w:rsidRPr="00A81CC9" w:rsidRDefault="0071790D" w:rsidP="007179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1A9F6" w14:textId="77777777" w:rsidR="0071790D" w:rsidRPr="00A81CC9" w:rsidRDefault="0071790D" w:rsidP="007179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243FF" w14:textId="77777777" w:rsidR="0071790D" w:rsidRPr="00A81CC9" w:rsidRDefault="0071790D" w:rsidP="007179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71790D" w:rsidRPr="00A81CC9" w14:paraId="484B7421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374E372C" w14:textId="1931DB7F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4EA76016" w14:textId="2FAD148C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061E0250" w14:textId="4C6A6F65" w:rsidR="0071790D" w:rsidRPr="00A81CC9" w:rsidRDefault="0071790D" w:rsidP="007179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11B2F14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8DE073C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8C83A4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46F7E9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45862C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DD2A37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4D6F6E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5CA1B5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58786F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525C2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1A6C9A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6937C1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0D39F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D75222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1ACFEB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4B3F78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72B384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01BC86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4E3D68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3A910D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7F708B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3C49" w14:textId="77777777" w:rsidR="001B0242" w:rsidRDefault="001B0242" w:rsidP="0022631D">
      <w:pPr>
        <w:spacing w:before="0" w:after="0"/>
      </w:pPr>
      <w:r>
        <w:separator/>
      </w:r>
    </w:p>
  </w:endnote>
  <w:endnote w:type="continuationSeparator" w:id="0">
    <w:p w14:paraId="1F60ED7A" w14:textId="77777777" w:rsidR="001B0242" w:rsidRDefault="001B024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735A" w14:textId="77777777" w:rsidR="001B0242" w:rsidRDefault="001B0242" w:rsidP="0022631D">
      <w:pPr>
        <w:spacing w:before="0" w:after="0"/>
      </w:pPr>
      <w:r>
        <w:separator/>
      </w:r>
    </w:p>
  </w:footnote>
  <w:footnote w:type="continuationSeparator" w:id="0">
    <w:p w14:paraId="71A99E3A" w14:textId="77777777" w:rsidR="001B0242" w:rsidRDefault="001B0242" w:rsidP="0022631D">
      <w:pPr>
        <w:spacing w:before="0" w:after="0"/>
      </w:pPr>
      <w:r>
        <w:continuationSeparator/>
      </w:r>
    </w:p>
  </w:footnote>
  <w:footnote w:id="1">
    <w:p w14:paraId="2D98DF9B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5CC71A25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5D42D94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68975356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064E775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0A10257C" w14:textId="77777777" w:rsidR="0071790D" w:rsidRPr="00871366" w:rsidRDefault="0071790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287ABF72" w14:textId="77777777" w:rsidR="0071790D" w:rsidRPr="002D0BF6" w:rsidRDefault="0071790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080F3123" w14:textId="77777777" w:rsidR="0071790D" w:rsidRPr="0078682E" w:rsidRDefault="0071790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49DCD272" w14:textId="77777777" w:rsidR="0071790D" w:rsidRPr="0078682E" w:rsidRDefault="0071790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7824B3D" w14:textId="77777777" w:rsidR="0071790D" w:rsidRPr="00005B9C" w:rsidRDefault="0071790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7FF7"/>
    <w:rsid w:val="00012170"/>
    <w:rsid w:val="00020399"/>
    <w:rsid w:val="00044EA8"/>
    <w:rsid w:val="00044F37"/>
    <w:rsid w:val="00046CCF"/>
    <w:rsid w:val="00051ECE"/>
    <w:rsid w:val="0007090E"/>
    <w:rsid w:val="00073D66"/>
    <w:rsid w:val="000B0199"/>
    <w:rsid w:val="000C00FA"/>
    <w:rsid w:val="000E4FF1"/>
    <w:rsid w:val="000F376D"/>
    <w:rsid w:val="001021B0"/>
    <w:rsid w:val="0012143A"/>
    <w:rsid w:val="001333E0"/>
    <w:rsid w:val="00133D74"/>
    <w:rsid w:val="0018422F"/>
    <w:rsid w:val="001A1999"/>
    <w:rsid w:val="001B0242"/>
    <w:rsid w:val="001C1BE1"/>
    <w:rsid w:val="001E0091"/>
    <w:rsid w:val="0022631D"/>
    <w:rsid w:val="002371CB"/>
    <w:rsid w:val="00295B92"/>
    <w:rsid w:val="002E4E6F"/>
    <w:rsid w:val="002F16CC"/>
    <w:rsid w:val="002F1FEB"/>
    <w:rsid w:val="003024F7"/>
    <w:rsid w:val="00336973"/>
    <w:rsid w:val="00346650"/>
    <w:rsid w:val="00371B1D"/>
    <w:rsid w:val="00386067"/>
    <w:rsid w:val="003869D8"/>
    <w:rsid w:val="003B2758"/>
    <w:rsid w:val="003E3D40"/>
    <w:rsid w:val="003E6978"/>
    <w:rsid w:val="00433E3C"/>
    <w:rsid w:val="004363EB"/>
    <w:rsid w:val="00472069"/>
    <w:rsid w:val="00474C2F"/>
    <w:rsid w:val="004764CD"/>
    <w:rsid w:val="004875E0"/>
    <w:rsid w:val="004B7B7C"/>
    <w:rsid w:val="004D078F"/>
    <w:rsid w:val="004E376E"/>
    <w:rsid w:val="00503BCC"/>
    <w:rsid w:val="00524F90"/>
    <w:rsid w:val="00546023"/>
    <w:rsid w:val="005737F9"/>
    <w:rsid w:val="005D2010"/>
    <w:rsid w:val="005D3174"/>
    <w:rsid w:val="005D5FBD"/>
    <w:rsid w:val="005E2B57"/>
    <w:rsid w:val="00607C9A"/>
    <w:rsid w:val="00646760"/>
    <w:rsid w:val="00690ECB"/>
    <w:rsid w:val="006A38B4"/>
    <w:rsid w:val="006B2E21"/>
    <w:rsid w:val="006C0266"/>
    <w:rsid w:val="006E0D92"/>
    <w:rsid w:val="006E1A83"/>
    <w:rsid w:val="006E3652"/>
    <w:rsid w:val="006F2779"/>
    <w:rsid w:val="00703319"/>
    <w:rsid w:val="0070378E"/>
    <w:rsid w:val="007060FC"/>
    <w:rsid w:val="0071293D"/>
    <w:rsid w:val="0071790D"/>
    <w:rsid w:val="00770463"/>
    <w:rsid w:val="007732E7"/>
    <w:rsid w:val="0078682E"/>
    <w:rsid w:val="007C5907"/>
    <w:rsid w:val="0081420B"/>
    <w:rsid w:val="00867B30"/>
    <w:rsid w:val="008A7224"/>
    <w:rsid w:val="008B2AFA"/>
    <w:rsid w:val="008C4E62"/>
    <w:rsid w:val="008C7D47"/>
    <w:rsid w:val="008E493A"/>
    <w:rsid w:val="00926E0B"/>
    <w:rsid w:val="00944EF1"/>
    <w:rsid w:val="0095792C"/>
    <w:rsid w:val="009C5E0F"/>
    <w:rsid w:val="009D61B2"/>
    <w:rsid w:val="009E75FF"/>
    <w:rsid w:val="00A1357D"/>
    <w:rsid w:val="00A306F5"/>
    <w:rsid w:val="00A31820"/>
    <w:rsid w:val="00A42DEF"/>
    <w:rsid w:val="00A81CC9"/>
    <w:rsid w:val="00A9697F"/>
    <w:rsid w:val="00AA32E4"/>
    <w:rsid w:val="00AC5176"/>
    <w:rsid w:val="00AD07B9"/>
    <w:rsid w:val="00AD59DC"/>
    <w:rsid w:val="00B35CA2"/>
    <w:rsid w:val="00B57A64"/>
    <w:rsid w:val="00B75762"/>
    <w:rsid w:val="00B91DE2"/>
    <w:rsid w:val="00B94EA2"/>
    <w:rsid w:val="00BA03B0"/>
    <w:rsid w:val="00BB0A93"/>
    <w:rsid w:val="00BD3D4E"/>
    <w:rsid w:val="00BF1465"/>
    <w:rsid w:val="00BF4745"/>
    <w:rsid w:val="00C410B5"/>
    <w:rsid w:val="00C71CFE"/>
    <w:rsid w:val="00C84DF7"/>
    <w:rsid w:val="00C96337"/>
    <w:rsid w:val="00C96BED"/>
    <w:rsid w:val="00CB44D2"/>
    <w:rsid w:val="00CC1F23"/>
    <w:rsid w:val="00CE496A"/>
    <w:rsid w:val="00CF1F70"/>
    <w:rsid w:val="00D013DF"/>
    <w:rsid w:val="00D30525"/>
    <w:rsid w:val="00D350DE"/>
    <w:rsid w:val="00D36189"/>
    <w:rsid w:val="00D3756B"/>
    <w:rsid w:val="00D41F76"/>
    <w:rsid w:val="00D53D0F"/>
    <w:rsid w:val="00D80C64"/>
    <w:rsid w:val="00DC2A54"/>
    <w:rsid w:val="00DE06F1"/>
    <w:rsid w:val="00E243EA"/>
    <w:rsid w:val="00E33A25"/>
    <w:rsid w:val="00E4188B"/>
    <w:rsid w:val="00E54C4D"/>
    <w:rsid w:val="00E56328"/>
    <w:rsid w:val="00E80442"/>
    <w:rsid w:val="00E81D40"/>
    <w:rsid w:val="00EA01A2"/>
    <w:rsid w:val="00EA568C"/>
    <w:rsid w:val="00EA767F"/>
    <w:rsid w:val="00EB59EE"/>
    <w:rsid w:val="00EF16D0"/>
    <w:rsid w:val="00F10AFE"/>
    <w:rsid w:val="00F10F55"/>
    <w:rsid w:val="00F31004"/>
    <w:rsid w:val="00F64167"/>
    <w:rsid w:val="00F6673B"/>
    <w:rsid w:val="00F77AAD"/>
    <w:rsid w:val="00F916C4"/>
    <w:rsid w:val="00F9575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B8F4"/>
  <w15:docId w15:val="{F0971A66-4691-4787-BC21-CC730AB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D30525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30525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e">
    <w:name w:val="Hyperlink"/>
    <w:rsid w:val="0070378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48</cp:revision>
  <cp:lastPrinted>2024-05-15T12:41:00Z</cp:lastPrinted>
  <dcterms:created xsi:type="dcterms:W3CDTF">2021-06-28T12:08:00Z</dcterms:created>
  <dcterms:modified xsi:type="dcterms:W3CDTF">2024-05-15T13:05:00Z</dcterms:modified>
</cp:coreProperties>
</file>