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057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5EDA0F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6E8649C7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0C95C38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7E38CD0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2F9DD17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478B9A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36767709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9C15F6B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6905F705" w14:textId="0CA88AC3" w:rsidR="0022631D" w:rsidRPr="00615156" w:rsidRDefault="00615156" w:rsidP="00615156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համայնքապետարանը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Վայոց ձորի մարզ, Արենի համայնք, Արենի բնակավայր, 15 փ. 3 շ.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Pr="004F04DA">
        <w:rPr>
          <w:rFonts w:ascii="Sylfaen" w:eastAsia="Times New Roman" w:hAnsi="Sylfaen" w:cs="Sylfaen"/>
          <w:b/>
          <w:bCs/>
          <w:sz w:val="20"/>
          <w:szCs w:val="20"/>
          <w:lang w:val="af-ZA" w:eastAsia="ru-RU"/>
        </w:rPr>
        <w:t>բենզինի</w:t>
      </w:r>
      <w:r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ձեռքբերման նպատակով կազմակերպված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&lt;&lt;ԱՐԵՆԻՀ-ԳՀԱՊՁԲ-01/2</w:t>
      </w:r>
      <w:r w:rsidR="004E6980">
        <w:rPr>
          <w:rFonts w:ascii="Sylfaen" w:eastAsia="Times New Roman" w:hAnsi="Sylfaen" w:cs="Sylfaen"/>
          <w:sz w:val="20"/>
          <w:szCs w:val="20"/>
          <w:lang w:val="af-ZA" w:eastAsia="ru-RU"/>
        </w:rPr>
        <w:t>4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4E26238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05"/>
        <w:gridCol w:w="36"/>
        <w:gridCol w:w="29"/>
        <w:gridCol w:w="290"/>
        <w:gridCol w:w="495"/>
        <w:gridCol w:w="480"/>
        <w:gridCol w:w="229"/>
        <w:gridCol w:w="153"/>
        <w:gridCol w:w="413"/>
        <w:gridCol w:w="49"/>
        <w:gridCol w:w="377"/>
        <w:gridCol w:w="404"/>
        <w:gridCol w:w="163"/>
        <w:gridCol w:w="284"/>
        <w:gridCol w:w="578"/>
        <w:gridCol w:w="272"/>
        <w:gridCol w:w="328"/>
        <w:gridCol w:w="204"/>
        <w:gridCol w:w="187"/>
        <w:gridCol w:w="886"/>
        <w:gridCol w:w="39"/>
        <w:gridCol w:w="636"/>
        <w:gridCol w:w="130"/>
        <w:gridCol w:w="78"/>
        <w:gridCol w:w="26"/>
        <w:gridCol w:w="186"/>
        <w:gridCol w:w="35"/>
        <w:gridCol w:w="1518"/>
        <w:gridCol w:w="517"/>
      </w:tblGrid>
      <w:tr w:rsidR="0022631D" w:rsidRPr="00A81CC9" w14:paraId="5C28D795" w14:textId="77777777" w:rsidTr="00322FA2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1BDECB4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1"/>
            <w:shd w:val="clear" w:color="auto" w:fill="auto"/>
            <w:vAlign w:val="center"/>
          </w:tcPr>
          <w:p w14:paraId="4D29EA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0A6C634" w14:textId="77777777" w:rsidTr="00322FA2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25E349A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1B8D029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0BA9A89D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6B63A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7E63B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14:paraId="7684FCC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360" w:type="dxa"/>
            <w:gridSpan w:val="6"/>
            <w:vMerge w:val="restart"/>
            <w:shd w:val="clear" w:color="auto" w:fill="auto"/>
            <w:vAlign w:val="center"/>
          </w:tcPr>
          <w:p w14:paraId="66E169D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3B911F6A" w14:textId="77777777" w:rsidTr="00322FA2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490EBC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555B39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27CC21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D37E5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446EE090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CA9DB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410" w:type="dxa"/>
            <w:gridSpan w:val="7"/>
            <w:vMerge/>
            <w:shd w:val="clear" w:color="auto" w:fill="auto"/>
          </w:tcPr>
          <w:p w14:paraId="4B6768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6"/>
            <w:vMerge/>
            <w:shd w:val="clear" w:color="auto" w:fill="auto"/>
          </w:tcPr>
          <w:p w14:paraId="590F50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12204EB" w14:textId="77777777" w:rsidTr="00322FA2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EED3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F2A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6A5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CEF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3FE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C36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E81C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21D68B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EC3305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E6980" w:rsidRPr="00A81CC9" w14:paraId="1E8CC93D" w14:textId="77777777" w:rsidTr="00C22DB7">
        <w:trPr>
          <w:gridAfter w:val="1"/>
          <w:wAfter w:w="517" w:type="dxa"/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7123959E" w14:textId="77777777" w:rsidR="004E6980" w:rsidRPr="00916D54" w:rsidRDefault="004E6980" w:rsidP="004E698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FBDF7" w14:textId="31F096B8" w:rsidR="004E6980" w:rsidRPr="00916D54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Ռեգուլյար բենզին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79867" w14:textId="1903526C" w:rsidR="004E6980" w:rsidRPr="00916D54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լիտր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E8201" w14:textId="1EEF2C63" w:rsidR="004E6980" w:rsidRPr="00916D54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E515B" w14:textId="1BC90B88" w:rsidR="004E6980" w:rsidRPr="00916D54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2529EB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6BD67807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0B1432A9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068DCDDA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F029621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32E9D73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1390C02D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4EDF1805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0109E50A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03E0C084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E719E83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598A3FB3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A67B23F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59FDCF1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4A0E2522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4CF6B4B4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FAFF602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57EE8DDA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1B55E76E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52D3E69A" w14:textId="079A6ABD" w:rsidR="004E6980" w:rsidRP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4E6980">
              <w:rPr>
                <w:rFonts w:ascii="GHEA Grapalat" w:hAnsi="GHEA Grapalat"/>
                <w:sz w:val="12"/>
                <w:szCs w:val="12"/>
              </w:rPr>
              <w:t>2</w:t>
            </w:r>
            <w:r w:rsidRPr="004E6980">
              <w:rPr>
                <w:rFonts w:cs="Calibri"/>
                <w:sz w:val="12"/>
                <w:szCs w:val="12"/>
              </w:rPr>
              <w:t> </w:t>
            </w:r>
            <w:r w:rsidRPr="004E6980">
              <w:rPr>
                <w:rFonts w:ascii="GHEA Grapalat" w:hAnsi="GHEA Grapalat"/>
                <w:sz w:val="12"/>
                <w:szCs w:val="12"/>
              </w:rPr>
              <w:t>585</w:t>
            </w:r>
            <w:r>
              <w:rPr>
                <w:rFonts w:cs="Calibri"/>
                <w:sz w:val="12"/>
                <w:szCs w:val="12"/>
              </w:rPr>
              <w:t> </w:t>
            </w:r>
            <w:r w:rsidRPr="004E6980">
              <w:rPr>
                <w:rFonts w:ascii="GHEA Grapalat" w:hAnsi="GHEA Grapalat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B2B482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1646A25F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3D28899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115690C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88AD5CA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FF21880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E60AACB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58941CC8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1599713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C391BF4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66F3281B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6FAE579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ECBEAA5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B91418D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4910464E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57B2AAA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67D05A81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3C47166D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0449C1A5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57D88A91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65E213DF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71A1020E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4103717F" w14:textId="77777777" w:rsid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</w:rPr>
            </w:pPr>
          </w:p>
          <w:p w14:paraId="264273EB" w14:textId="48D8D22A" w:rsidR="004E6980" w:rsidRPr="004E6980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4E6980">
              <w:rPr>
                <w:rFonts w:ascii="GHEA Grapalat" w:hAnsi="GHEA Grapalat"/>
                <w:sz w:val="12"/>
                <w:szCs w:val="12"/>
              </w:rPr>
              <w:t>2</w:t>
            </w:r>
            <w:r w:rsidRPr="004E6980">
              <w:rPr>
                <w:rFonts w:cs="Calibri"/>
                <w:sz w:val="12"/>
                <w:szCs w:val="12"/>
              </w:rPr>
              <w:t> </w:t>
            </w:r>
            <w:r w:rsidRPr="004E6980">
              <w:rPr>
                <w:rFonts w:ascii="GHEA Grapalat" w:hAnsi="GHEA Grapalat"/>
                <w:sz w:val="12"/>
                <w:szCs w:val="12"/>
              </w:rPr>
              <w:t>585 000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E65CD45" w14:textId="4E83AFEE" w:rsidR="004E6980" w:rsidRPr="009C1B65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9C1B65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Արտաքին տեսքը` մաքուր և պարզ, օկտանային թիվը  որոշված հետազոտական մեթոդով՝ ոչ պակաս 91, շարժիչային մեթոդով՝ ոչ պակաս 81, բենզինի  հագեցած գոլորշիների ճնշումը` 45-ից մինչև 100 կՊա, կապարի պարունակությունը 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280B42D" w14:textId="2D011B33" w:rsidR="004E6980" w:rsidRPr="009C1B65" w:rsidRDefault="004E6980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9C1B65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Արտաքին տեսքը` մաքուր և պարզ, օկտանային թիվը  որոշված հետազոտական մեթոդով՝ ոչ պակաս 91, շարժիչային մեթոդով՝ ոչ պակաս 81, բենզինի  հագեցած գոլորշիների ճնշումը` 45-ից մինչև 100 կՊա, կապարի պարունակությունը 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</w:p>
        </w:tc>
      </w:tr>
      <w:tr w:rsidR="0022631D" w:rsidRPr="00A81CC9" w14:paraId="6109E256" w14:textId="77777777" w:rsidTr="00322FA2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0E70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CCFE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116F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A6B6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7237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845E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F69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C47B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896B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FD7B504" w14:textId="77777777" w:rsidTr="00322FA2">
        <w:trPr>
          <w:trHeight w:val="46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33CD5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77AF2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83D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242C0" w14:textId="29BC1549" w:rsidR="0022631D" w:rsidRPr="00A81CC9" w:rsidRDefault="009C1B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Գնանշման հարցում</w:t>
            </w:r>
          </w:p>
        </w:tc>
      </w:tr>
      <w:tr w:rsidR="0022631D" w:rsidRPr="00A81CC9" w14:paraId="0B039FD1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87E2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B2E263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7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8630E72" w14:textId="6C90849F" w:rsidR="0022631D" w:rsidRPr="00A81CC9" w:rsidRDefault="004E69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05</w:t>
            </w:r>
            <w:r w:rsidR="009C1B6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9C1B6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322FA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2631D" w:rsidRPr="00A81CC9" w14:paraId="0D623A54" w14:textId="77777777" w:rsidTr="00322F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5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27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F89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60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7BE8E46" w14:textId="77777777" w:rsidTr="00322F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64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E2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A10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3C962D" w14:textId="77777777" w:rsidTr="00322F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4EB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44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DBA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411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662FBF4" w14:textId="77777777" w:rsidTr="00322F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042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404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B8E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A9A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9B87BBF" w14:textId="77777777" w:rsidTr="00322F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C2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4D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E4B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4D3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4F8CD7A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57001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708EEF9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47EF84D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AC7AC1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692261A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7EE46A18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5CC4C63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03F4D3D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26FD138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6BA43A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C37174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464A3A20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C71DB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9"/>
            <w:shd w:val="clear" w:color="auto" w:fill="auto"/>
            <w:vAlign w:val="center"/>
          </w:tcPr>
          <w:p w14:paraId="40CAFC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3B58DE12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6CADB26" w14:textId="554F69F1" w:rsidR="00012170" w:rsidRPr="00A81CC9" w:rsidRDefault="004E69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F464129" w14:textId="7AA4D4B6" w:rsidR="00012170" w:rsidRPr="00A81CC9" w:rsidRDefault="009C1B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&lt;&lt;ՖԼԵՇ&gt;&gt;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53E7B25" w14:textId="54DD8F2C" w:rsidR="00012170" w:rsidRPr="00A81CC9" w:rsidRDefault="004E69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2</w:t>
            </w:r>
            <w:r w:rsidR="00B529BD"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154</w:t>
            </w:r>
            <w:r w:rsidR="00B529BD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166.67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906E53A" w14:textId="576DC716" w:rsidR="00012170" w:rsidRPr="00A81CC9" w:rsidRDefault="004E69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430</w:t>
            </w:r>
            <w:r w:rsidR="00916D54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833.33</w:t>
            </w:r>
            <w:r w:rsidR="009C1B65" w:rsidRPr="008A4EBF">
              <w:rPr>
                <w:rFonts w:ascii="Sylfaen" w:hAnsi="Sylfaen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894B10C" w14:textId="00C711DA" w:rsidR="00012170" w:rsidRPr="00A81CC9" w:rsidRDefault="004E69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2</w:t>
            </w:r>
            <w:r w:rsidR="00B529BD"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585</w:t>
            </w:r>
            <w:r w:rsidR="00B529BD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000</w:t>
            </w:r>
          </w:p>
        </w:tc>
      </w:tr>
      <w:tr w:rsidR="0022631D" w:rsidRPr="00A81CC9" w14:paraId="457598AD" w14:textId="77777777" w:rsidTr="00322FA2">
        <w:trPr>
          <w:trHeight w:val="66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06ECB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89F5FF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6EE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687466B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3CAF40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2A5415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B186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6D93C85B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523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433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96E5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A4D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B2D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3DCA1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17452DE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7A29E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EA6F4B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606C9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D7B75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55F69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0E237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607B09A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9BF0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6387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4D38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D7AA3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4E095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6C170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2808BAE" w14:textId="77777777" w:rsidTr="004D078F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200F0CFE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6"/>
            <w:shd w:val="clear" w:color="auto" w:fill="auto"/>
            <w:vAlign w:val="center"/>
          </w:tcPr>
          <w:p w14:paraId="7C72284A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10719178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87B622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C1B39A" w14:textId="77777777" w:rsidTr="00322FA2">
        <w:trPr>
          <w:trHeight w:val="346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6628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4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E2516" w14:textId="1FF43FCE" w:rsidR="0022631D" w:rsidRPr="004F04DA" w:rsidRDefault="00207EC4" w:rsidP="0022631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04DA">
              <w:rPr>
                <w:rFonts w:ascii="Arial Armenian" w:hAnsi="Arial Armenian"/>
                <w:sz w:val="18"/>
                <w:szCs w:val="18"/>
                <w:lang w:val="pt-BR"/>
              </w:rPr>
              <w:t xml:space="preserve">12.02.2024 </w:t>
            </w:r>
            <w:r w:rsidRPr="004F04DA">
              <w:rPr>
                <w:rFonts w:ascii="Arial" w:hAnsi="Arial" w:cs="Arial"/>
                <w:sz w:val="18"/>
                <w:szCs w:val="18"/>
                <w:lang w:val="pt-BR"/>
              </w:rPr>
              <w:t>թ.</w:t>
            </w:r>
          </w:p>
        </w:tc>
      </w:tr>
      <w:tr w:rsidR="0022631D" w:rsidRPr="00A81CC9" w14:paraId="4DBF837D" w14:textId="77777777" w:rsidTr="00322FA2">
        <w:trPr>
          <w:trHeight w:val="92"/>
        </w:trPr>
        <w:tc>
          <w:tcPr>
            <w:tcW w:w="4741" w:type="dxa"/>
            <w:gridSpan w:val="14"/>
            <w:vMerge w:val="restart"/>
            <w:shd w:val="clear" w:color="auto" w:fill="auto"/>
            <w:vAlign w:val="center"/>
          </w:tcPr>
          <w:p w14:paraId="541409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BF10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94D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6A83B7AB" w14:textId="77777777" w:rsidTr="00322FA2">
        <w:trPr>
          <w:trHeight w:val="92"/>
        </w:trPr>
        <w:tc>
          <w:tcPr>
            <w:tcW w:w="47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37A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75143" w14:textId="60F77526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56A82" w14:textId="78409740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A8FA609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A0F09" w14:textId="4E585A65" w:rsidR="0022631D" w:rsidRPr="00A11B9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11B9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207E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15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.02.202</w:t>
            </w:r>
            <w:r w:rsidR="00207E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4A8909F2" w14:textId="77777777" w:rsidTr="00322FA2">
        <w:trPr>
          <w:trHeight w:val="344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171F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E3AF8" w14:textId="0BB9C01E" w:rsidR="0022631D" w:rsidRPr="00A81CC9" w:rsidRDefault="00207EC4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15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.02.202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8D5D0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1C4840D4" w14:textId="77777777" w:rsidTr="00322FA2">
        <w:trPr>
          <w:trHeight w:val="344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F583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4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70A06" w14:textId="7419B082" w:rsidR="0022631D" w:rsidRPr="00A81CC9" w:rsidRDefault="00207EC4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15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.02.202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61E8F63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AEBC4C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392650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13B43D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19A7A75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27"/>
            <w:shd w:val="clear" w:color="auto" w:fill="auto"/>
            <w:vAlign w:val="center"/>
          </w:tcPr>
          <w:p w14:paraId="4FCA98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48725731" w14:textId="77777777" w:rsidTr="00A133E2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D7F85E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503FF92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414552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14:paraId="1B7B38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666" w:type="dxa"/>
            <w:gridSpan w:val="5"/>
            <w:vMerge w:val="restart"/>
            <w:shd w:val="clear" w:color="auto" w:fill="auto"/>
            <w:vAlign w:val="center"/>
          </w:tcPr>
          <w:p w14:paraId="6126958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A133E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20430F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47BA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310B4065" w14:textId="77777777" w:rsidTr="00A133E2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587C16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41354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14A342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14:paraId="56295C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shd w:val="clear" w:color="auto" w:fill="auto"/>
            <w:vAlign w:val="center"/>
          </w:tcPr>
          <w:p w14:paraId="0BCA2B3E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5E9A4D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4F66AD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3B426EDE" w14:textId="77777777" w:rsidTr="00A133E2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231E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0D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FBF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62D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AFB5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8C2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1BB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19B6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0485F4E9" w14:textId="77777777" w:rsidTr="00A133E2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EA40EF0" w14:textId="77777777" w:rsidR="0022631D" w:rsidRPr="004F04D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6DE1AA6" w14:textId="1F421A5B" w:rsidR="0022631D" w:rsidRPr="004F04DA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4F04DA">
              <w:rPr>
                <w:rFonts w:ascii="Sylfaen" w:hAnsi="Sylfaen"/>
                <w:bCs/>
                <w:color w:val="000000"/>
                <w:sz w:val="14"/>
                <w:szCs w:val="14"/>
              </w:rPr>
              <w:t>&lt;&lt;ՖԼԵՇ&gt;&gt;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41B1501C" w14:textId="1F578A5A" w:rsidR="0022631D" w:rsidRPr="004F04DA" w:rsidRDefault="008D5D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4F04DA">
              <w:rPr>
                <w:rFonts w:ascii="Arial Armenian" w:hAnsi="Arial Armenian"/>
                <w:bCs/>
                <w:iCs/>
                <w:sz w:val="14"/>
                <w:szCs w:val="14"/>
                <w:lang w:val="pt-BR"/>
              </w:rPr>
              <w:t>§</w:t>
            </w:r>
            <w:r w:rsidRPr="004F04DA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ԱՐԵՆԻՀ-ԳՀԱՊՁԲ-01/2</w:t>
            </w:r>
            <w:r w:rsidR="00A133E2" w:rsidRPr="004F04DA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4</w:t>
            </w:r>
            <w:r w:rsidRPr="004F04DA">
              <w:rPr>
                <w:rFonts w:ascii="Arial Armenian" w:hAnsi="Arial Armenian"/>
                <w:bCs/>
                <w:iCs/>
                <w:sz w:val="14"/>
                <w:szCs w:val="14"/>
                <w:lang w:val="pt-BR"/>
              </w:rPr>
              <w:t>¦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A5B1B1D" w14:textId="6AF397F5" w:rsidR="0022631D" w:rsidRPr="004F04DA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 xml:space="preserve">15.02.2024 </w:t>
            </w: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242BF251" w14:textId="28AE0C29" w:rsidR="0022631D" w:rsidRPr="004F04DA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hAnsi="Sylfaen"/>
                <w:bCs/>
                <w:color w:val="000000" w:themeColor="text1"/>
                <w:sz w:val="14"/>
                <w:szCs w:val="14"/>
                <w:lang w:val="hy-AM"/>
              </w:rPr>
              <w:t>Ապրանքների մատակարարման ժամկետը պայմանագիրն ուժի մեջ մտնելուց հետո 21-րդ օրացուցային օրը ըստ պատվիրատուի կողմից ներկայացված հայտերի, բացառությամբ, եթե վաճառողը համաձայնվում է մատակարարել ավելի կարճ ժամկետում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4FBCB8B" w14:textId="77777777" w:rsidR="0022631D" w:rsidRPr="004F04D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ABC5D3B" w14:textId="4418B6F8" w:rsidR="0022631D" w:rsidRPr="004F04DA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2 585 000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75149B7" w14:textId="0DAE72A2" w:rsidR="0022631D" w:rsidRPr="004F04DA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2</w:t>
            </w: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 </w:t>
            </w: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585</w:t>
            </w: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 xml:space="preserve"> </w:t>
            </w: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000</w:t>
            </w:r>
          </w:p>
        </w:tc>
      </w:tr>
      <w:tr w:rsidR="0022631D" w:rsidRPr="00A81CC9" w14:paraId="3E6F632A" w14:textId="77777777" w:rsidTr="00A133E2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21132D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8D80B5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6336F88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EE8D4D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553A23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32799E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7ECD8DC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EC45E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5F7E94C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523C14D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77F89D54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DF2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DEC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3B3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5DA2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F91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C670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A133E2" w14:paraId="38C32D23" w14:textId="77777777" w:rsidTr="0001217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8850C" w14:textId="77777777" w:rsidR="0022631D" w:rsidRPr="008A064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4D5A2" w14:textId="43E21E17" w:rsidR="0022631D" w:rsidRPr="008A0645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8A0645">
              <w:rPr>
                <w:rFonts w:ascii="Sylfaen" w:hAnsi="Sylfaen"/>
                <w:bCs/>
                <w:color w:val="000000"/>
                <w:sz w:val="14"/>
                <w:szCs w:val="14"/>
              </w:rPr>
              <w:t>&lt;&lt;ՖԼԵՇ&gt;&gt;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46B24" w14:textId="2303FF13" w:rsidR="0022631D" w:rsidRPr="008A0645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  <w:t>ՀՀ, ք. Երևան, Ե. Կողբացու 30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EFBE7" w14:textId="31E8ACA4" w:rsidR="0022631D" w:rsidRPr="008A0645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flashtender@gmail.com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28CC2" w14:textId="4DA190D9" w:rsidR="0022631D" w:rsidRPr="008A0645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15100166690902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EBF07" w14:textId="37F6E234" w:rsidR="0022631D" w:rsidRPr="008A0645" w:rsidRDefault="00A13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 xml:space="preserve">01808789 </w:t>
            </w:r>
          </w:p>
        </w:tc>
      </w:tr>
      <w:tr w:rsidR="0022631D" w:rsidRPr="00A133E2" w14:paraId="0D113A4D" w14:textId="77777777" w:rsidTr="00322FA2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70A314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65BF48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56B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993E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5E340B6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C204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39D0223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DA55066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A0A0976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E19B462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B29D62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F08E1F1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2D0C399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DECB7B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D51FB46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D215A97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308E37E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967C3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CCF1C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4ECADE5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B0390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32C89A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7DF298E" w14:textId="77777777" w:rsidTr="008A0645">
        <w:trPr>
          <w:trHeight w:val="12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6D819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B5E33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03BBEC4F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A1A8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7B2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56A933A" w14:textId="77777777" w:rsidTr="00322FA2">
        <w:trPr>
          <w:trHeight w:val="43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B6539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254BBEC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F092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E613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9D1594F" w14:textId="77777777" w:rsidTr="00322FA2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7BA1C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21C52AF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C0AB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3A7E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204966D3" w14:textId="77777777" w:rsidTr="00322FA2">
        <w:trPr>
          <w:trHeight w:val="43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39CC5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997D6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3AFA764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436A8BDD" w14:textId="77777777" w:rsidTr="00322FA2">
        <w:trPr>
          <w:trHeight w:val="4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BD36B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4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AA04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77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315D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2CC24983" w14:textId="77777777" w:rsidTr="00322FA2">
        <w:trPr>
          <w:trHeight w:val="47"/>
        </w:trPr>
        <w:tc>
          <w:tcPr>
            <w:tcW w:w="3040" w:type="dxa"/>
            <w:gridSpan w:val="8"/>
            <w:shd w:val="clear" w:color="auto" w:fill="auto"/>
            <w:vAlign w:val="center"/>
          </w:tcPr>
          <w:p w14:paraId="6984692F" w14:textId="07AA1859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17C4305B" w14:textId="03362A87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4770" w:type="dxa"/>
            <w:gridSpan w:val="13"/>
            <w:shd w:val="clear" w:color="auto" w:fill="auto"/>
            <w:vAlign w:val="center"/>
          </w:tcPr>
          <w:p w14:paraId="5C7FC556" w14:textId="3986DB81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348AF53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51ED2108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1190DA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2D2F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57DB92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334EED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0BCDBD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49D5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A233E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0AF168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800875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75430C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E1046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73051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99802A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7A98CE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8FD03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E3394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CE96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73CF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8E5DDB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8AE0" w14:textId="77777777" w:rsidR="00B471B6" w:rsidRDefault="00B471B6" w:rsidP="0022631D">
      <w:pPr>
        <w:spacing w:before="0" w:after="0"/>
      </w:pPr>
      <w:r>
        <w:separator/>
      </w:r>
    </w:p>
  </w:endnote>
  <w:endnote w:type="continuationSeparator" w:id="0">
    <w:p w14:paraId="269F3923" w14:textId="77777777" w:rsidR="00B471B6" w:rsidRDefault="00B471B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3B7B" w14:textId="77777777" w:rsidR="00B471B6" w:rsidRDefault="00B471B6" w:rsidP="0022631D">
      <w:pPr>
        <w:spacing w:before="0" w:after="0"/>
      </w:pPr>
      <w:r>
        <w:separator/>
      </w:r>
    </w:p>
  </w:footnote>
  <w:footnote w:type="continuationSeparator" w:id="0">
    <w:p w14:paraId="30C80403" w14:textId="77777777" w:rsidR="00B471B6" w:rsidRDefault="00B471B6" w:rsidP="0022631D">
      <w:pPr>
        <w:spacing w:before="0" w:after="0"/>
      </w:pPr>
      <w:r>
        <w:continuationSeparator/>
      </w:r>
    </w:p>
  </w:footnote>
  <w:footnote w:id="1">
    <w:p w14:paraId="6298D289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BD1CB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A65BB2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BC9C68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56D2BA9B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D4DACAA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7E5E639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9BE0B46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AC34BDA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141D8B7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0F38E0"/>
    <w:rsid w:val="001021B0"/>
    <w:rsid w:val="0012143A"/>
    <w:rsid w:val="0018422F"/>
    <w:rsid w:val="001A1999"/>
    <w:rsid w:val="001C1BE1"/>
    <w:rsid w:val="001E0091"/>
    <w:rsid w:val="00207EC4"/>
    <w:rsid w:val="0022631D"/>
    <w:rsid w:val="00295B92"/>
    <w:rsid w:val="002E4E6F"/>
    <w:rsid w:val="002F16CC"/>
    <w:rsid w:val="002F1FEB"/>
    <w:rsid w:val="00322FA2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4E6980"/>
    <w:rsid w:val="004F04DA"/>
    <w:rsid w:val="00503BCC"/>
    <w:rsid w:val="0054406B"/>
    <w:rsid w:val="00546023"/>
    <w:rsid w:val="005737F9"/>
    <w:rsid w:val="005D5FBD"/>
    <w:rsid w:val="00607C9A"/>
    <w:rsid w:val="00615156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06768"/>
    <w:rsid w:val="00770463"/>
    <w:rsid w:val="007732E7"/>
    <w:rsid w:val="0078682E"/>
    <w:rsid w:val="0081420B"/>
    <w:rsid w:val="008A0645"/>
    <w:rsid w:val="008A7224"/>
    <w:rsid w:val="008C4E62"/>
    <w:rsid w:val="008C7D47"/>
    <w:rsid w:val="008D5D08"/>
    <w:rsid w:val="008E493A"/>
    <w:rsid w:val="00916D54"/>
    <w:rsid w:val="0095792C"/>
    <w:rsid w:val="009C1B65"/>
    <w:rsid w:val="009C5E0F"/>
    <w:rsid w:val="009E75FF"/>
    <w:rsid w:val="00A11B90"/>
    <w:rsid w:val="00A133E2"/>
    <w:rsid w:val="00A22F8C"/>
    <w:rsid w:val="00A306F5"/>
    <w:rsid w:val="00A31820"/>
    <w:rsid w:val="00A81CC9"/>
    <w:rsid w:val="00AA32E4"/>
    <w:rsid w:val="00AD07B9"/>
    <w:rsid w:val="00AD59DC"/>
    <w:rsid w:val="00B21321"/>
    <w:rsid w:val="00B471B6"/>
    <w:rsid w:val="00B529BD"/>
    <w:rsid w:val="00B75762"/>
    <w:rsid w:val="00B91DE2"/>
    <w:rsid w:val="00B94EA2"/>
    <w:rsid w:val="00BA03B0"/>
    <w:rsid w:val="00BB0A93"/>
    <w:rsid w:val="00BD3D4E"/>
    <w:rsid w:val="00BF1465"/>
    <w:rsid w:val="00BF4745"/>
    <w:rsid w:val="00C410B5"/>
    <w:rsid w:val="00C437A0"/>
    <w:rsid w:val="00C71CFE"/>
    <w:rsid w:val="00C84DF7"/>
    <w:rsid w:val="00C96337"/>
    <w:rsid w:val="00C96BED"/>
    <w:rsid w:val="00CB44D2"/>
    <w:rsid w:val="00CC1F23"/>
    <w:rsid w:val="00CF1F70"/>
    <w:rsid w:val="00D350DE"/>
    <w:rsid w:val="00D36189"/>
    <w:rsid w:val="00D41F76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CB1D"/>
  <w15:docId w15:val="{FDF14553-71D7-45B7-ADAB-60AE569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0F38E0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F38E0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29</cp:revision>
  <cp:lastPrinted>2021-04-06T07:47:00Z</cp:lastPrinted>
  <dcterms:created xsi:type="dcterms:W3CDTF">2021-06-28T12:08:00Z</dcterms:created>
  <dcterms:modified xsi:type="dcterms:W3CDTF">2024-02-27T08:07:00Z</dcterms:modified>
</cp:coreProperties>
</file>